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E98" w:rsidRPr="003A30BF" w:rsidRDefault="00607AFA" w:rsidP="003A30BF">
      <w:pPr>
        <w:jc w:val="center"/>
        <w:rPr>
          <w:b/>
          <w:sz w:val="28"/>
          <w:szCs w:val="28"/>
          <w:u w:val="single"/>
        </w:rPr>
      </w:pPr>
      <w:r>
        <w:rPr>
          <w:b/>
          <w:sz w:val="28"/>
          <w:szCs w:val="28"/>
          <w:u w:val="single"/>
        </w:rPr>
        <w:t xml:space="preserve">The BINOCAR </w:t>
      </w:r>
      <w:r w:rsidR="001A5D03">
        <w:rPr>
          <w:b/>
          <w:sz w:val="28"/>
          <w:szCs w:val="28"/>
          <w:u w:val="single"/>
        </w:rPr>
        <w:t>Small Numbers Policy</w:t>
      </w:r>
    </w:p>
    <w:p w:rsidR="003A30BF" w:rsidRDefault="003A30BF"/>
    <w:p w:rsidR="006742AC" w:rsidRPr="006742AC" w:rsidRDefault="006742AC" w:rsidP="003A30BF">
      <w:pPr>
        <w:jc w:val="both"/>
      </w:pPr>
      <w:r>
        <w:t>This document was approved by the BINOCAR Management Committee</w:t>
      </w:r>
      <w:r w:rsidR="00FF17A0">
        <w:t xml:space="preserve"> on the 20</w:t>
      </w:r>
      <w:r w:rsidR="00FF17A0" w:rsidRPr="00FF17A0">
        <w:rPr>
          <w:vertAlign w:val="superscript"/>
        </w:rPr>
        <w:t>th</w:t>
      </w:r>
      <w:r w:rsidR="00FF17A0">
        <w:t xml:space="preserve"> July 2011.</w:t>
      </w:r>
    </w:p>
    <w:p w:rsidR="006742AC" w:rsidRDefault="006742AC" w:rsidP="003A30BF">
      <w:pPr>
        <w:jc w:val="both"/>
        <w:rPr>
          <w:b/>
          <w:u w:val="single"/>
        </w:rPr>
      </w:pPr>
    </w:p>
    <w:p w:rsidR="003A30BF" w:rsidRPr="003A30BF" w:rsidRDefault="003A30BF" w:rsidP="003A30BF">
      <w:pPr>
        <w:jc w:val="both"/>
        <w:rPr>
          <w:b/>
          <w:u w:val="single"/>
        </w:rPr>
      </w:pPr>
      <w:r w:rsidRPr="003A30BF">
        <w:rPr>
          <w:b/>
          <w:u w:val="single"/>
        </w:rPr>
        <w:t>Introduction and background</w:t>
      </w:r>
    </w:p>
    <w:p w:rsidR="003A30BF" w:rsidRDefault="003A30BF" w:rsidP="003A30BF">
      <w:pPr>
        <w:jc w:val="both"/>
      </w:pPr>
    </w:p>
    <w:p w:rsidR="003A30BF" w:rsidRDefault="003A30BF" w:rsidP="003A30BF">
      <w:pPr>
        <w:jc w:val="both"/>
      </w:pPr>
      <w:r>
        <w:t xml:space="preserve">This Protocol applies to the publication of BINOCAR data and the UK data within EUROCAT.  </w:t>
      </w:r>
    </w:p>
    <w:p w:rsidR="003A30BF" w:rsidRDefault="003A30BF" w:rsidP="003A30BF">
      <w:pPr>
        <w:jc w:val="both"/>
      </w:pPr>
    </w:p>
    <w:p w:rsidR="003A30BF" w:rsidRDefault="003A30BF" w:rsidP="003A30BF">
      <w:pPr>
        <w:jc w:val="both"/>
      </w:pPr>
      <w:r>
        <w:t>The purpose of this Protocol is to make information available to serve the public interest, while protecting the confidentiality of those described by it, such as patients.  It is important that the people who are described by the data are confident that their data is being:</w:t>
      </w:r>
    </w:p>
    <w:p w:rsidR="003A30BF" w:rsidRDefault="003A30BF" w:rsidP="003A30BF">
      <w:pPr>
        <w:pStyle w:val="ListParagraph"/>
        <w:numPr>
          <w:ilvl w:val="0"/>
          <w:numId w:val="1"/>
        </w:numPr>
        <w:jc w:val="both"/>
      </w:pPr>
      <w:r>
        <w:t>Collected and held legally</w:t>
      </w:r>
    </w:p>
    <w:p w:rsidR="003A30BF" w:rsidRDefault="003A30BF" w:rsidP="003A30BF">
      <w:pPr>
        <w:pStyle w:val="ListParagraph"/>
        <w:numPr>
          <w:ilvl w:val="0"/>
          <w:numId w:val="1"/>
        </w:numPr>
        <w:jc w:val="both"/>
      </w:pPr>
      <w:r>
        <w:t>Handled confidentially, with due ca</w:t>
      </w:r>
      <w:r w:rsidR="006742AC">
        <w:t>re and</w:t>
      </w:r>
      <w:r>
        <w:t xml:space="preserve"> respect for privacy</w:t>
      </w:r>
    </w:p>
    <w:p w:rsidR="00E966D8" w:rsidRDefault="003A30BF" w:rsidP="00E966D8">
      <w:pPr>
        <w:pStyle w:val="ListParagraph"/>
        <w:numPr>
          <w:ilvl w:val="0"/>
          <w:numId w:val="1"/>
        </w:numPr>
        <w:jc w:val="both"/>
      </w:pPr>
      <w:r>
        <w:t xml:space="preserve">Managed in accordance with relevant legislation, </w:t>
      </w:r>
      <w:r w:rsidR="006742AC">
        <w:t>e.g.</w:t>
      </w:r>
      <w:r>
        <w:t xml:space="preserve"> Data Protection Act 1998.</w:t>
      </w:r>
    </w:p>
    <w:p w:rsidR="003A30BF" w:rsidRDefault="003A30BF" w:rsidP="003A30BF">
      <w:pPr>
        <w:jc w:val="both"/>
      </w:pPr>
    </w:p>
    <w:p w:rsidR="003A30BF" w:rsidRDefault="003A30BF" w:rsidP="003A30BF">
      <w:pPr>
        <w:jc w:val="both"/>
      </w:pPr>
    </w:p>
    <w:p w:rsidR="003A30BF" w:rsidRPr="003A30BF" w:rsidRDefault="003A30BF" w:rsidP="003A30BF">
      <w:pPr>
        <w:jc w:val="both"/>
        <w:rPr>
          <w:b/>
          <w:u w:val="single"/>
        </w:rPr>
      </w:pPr>
      <w:r w:rsidRPr="003A30BF">
        <w:rPr>
          <w:b/>
          <w:u w:val="single"/>
        </w:rPr>
        <w:t>Sensi</w:t>
      </w:r>
      <w:r w:rsidR="005A3834">
        <w:rPr>
          <w:b/>
          <w:u w:val="single"/>
        </w:rPr>
        <w:t xml:space="preserve">tivities of BINOCAR </w:t>
      </w:r>
      <w:r w:rsidRPr="003A30BF">
        <w:rPr>
          <w:b/>
          <w:u w:val="single"/>
        </w:rPr>
        <w:t>data and protecting the individual</w:t>
      </w:r>
    </w:p>
    <w:p w:rsidR="003A30BF" w:rsidRDefault="003A30BF" w:rsidP="003A30BF">
      <w:pPr>
        <w:jc w:val="both"/>
      </w:pPr>
    </w:p>
    <w:p w:rsidR="003A30BF" w:rsidRDefault="003A30BF" w:rsidP="003A30BF">
      <w:pPr>
        <w:jc w:val="both"/>
      </w:pPr>
      <w:r>
        <w:t xml:space="preserve">The data </w:t>
      </w:r>
      <w:r w:rsidR="005A3834">
        <w:t xml:space="preserve">held within BINOCAR </w:t>
      </w:r>
      <w:r>
        <w:t>relate to the outcome of pregnancies.  Some clinical information, such as certain anomalies or procedures (</w:t>
      </w:r>
      <w:r w:rsidR="006742AC">
        <w:t>e.g.</w:t>
      </w:r>
      <w:r>
        <w:t xml:space="preserve"> abortions), could potentially be very sensitive if related to an individual patient.  While all health information is sensitive, some data items can be more sensitive that others or can more easily enable identification of individuals.  For example, the set of data items including postcode, sex and date of birth (collectively referred to as ‘potential identifiers’) could, in combination and with outside knowledge, help to identify an individual patient.</w:t>
      </w:r>
    </w:p>
    <w:p w:rsidR="003A30BF" w:rsidRDefault="003A30BF" w:rsidP="003A30BF">
      <w:pPr>
        <w:jc w:val="both"/>
      </w:pPr>
    </w:p>
    <w:p w:rsidR="003A30BF" w:rsidRDefault="005A3834" w:rsidP="003A30BF">
      <w:pPr>
        <w:jc w:val="both"/>
      </w:pPr>
      <w:r>
        <w:t xml:space="preserve">BINOCAR </w:t>
      </w:r>
      <w:r w:rsidR="002F6824">
        <w:t>data are stored in a secure data centre where there is restricted access to the environment.  The data is held securely under a combination of software and hardware controls.</w:t>
      </w:r>
    </w:p>
    <w:p w:rsidR="002F6824" w:rsidRDefault="002F6824" w:rsidP="003A30BF">
      <w:pPr>
        <w:jc w:val="both"/>
      </w:pPr>
    </w:p>
    <w:p w:rsidR="002F6824" w:rsidRDefault="005A3834" w:rsidP="003A30BF">
      <w:pPr>
        <w:jc w:val="both"/>
      </w:pPr>
      <w:r>
        <w:t xml:space="preserve">BINOCAR </w:t>
      </w:r>
      <w:r w:rsidR="002F6824">
        <w:t xml:space="preserve">data are not obtained directly from patients but from hospital providers.  It is not feasible to obtain explicit consent from patients and so BINOCAR has sought and received approval from the National Information Governance Board (NIGB) to hold exemption from obtaining consent under Section 251 of the </w:t>
      </w:r>
      <w:r w:rsidR="006742AC">
        <w:t>NHS</w:t>
      </w:r>
      <w:r w:rsidR="002F6824">
        <w:t xml:space="preserve"> Act 2006.  </w:t>
      </w:r>
    </w:p>
    <w:p w:rsidR="002F6824" w:rsidRDefault="002F6824" w:rsidP="003A30BF">
      <w:pPr>
        <w:jc w:val="both"/>
      </w:pPr>
    </w:p>
    <w:p w:rsidR="002F6824" w:rsidRDefault="002F6824" w:rsidP="003A30BF">
      <w:pPr>
        <w:jc w:val="both"/>
      </w:pPr>
    </w:p>
    <w:p w:rsidR="002F6824" w:rsidRPr="002F6824" w:rsidRDefault="002F6824" w:rsidP="003A30BF">
      <w:pPr>
        <w:jc w:val="both"/>
        <w:rPr>
          <w:b/>
          <w:u w:val="single"/>
        </w:rPr>
      </w:pPr>
      <w:r w:rsidRPr="002F6824">
        <w:rPr>
          <w:b/>
          <w:u w:val="single"/>
        </w:rPr>
        <w:t>Guidelines o</w:t>
      </w:r>
      <w:r w:rsidR="005A3834">
        <w:rPr>
          <w:b/>
          <w:u w:val="single"/>
        </w:rPr>
        <w:t xml:space="preserve">n releasing BINOCAR </w:t>
      </w:r>
      <w:r w:rsidRPr="002F6824">
        <w:rPr>
          <w:b/>
          <w:u w:val="single"/>
        </w:rPr>
        <w:t>information</w:t>
      </w:r>
    </w:p>
    <w:p w:rsidR="002F6824" w:rsidRDefault="002F6824" w:rsidP="003A30BF">
      <w:pPr>
        <w:jc w:val="both"/>
      </w:pPr>
    </w:p>
    <w:p w:rsidR="002F6824" w:rsidRDefault="005A3834" w:rsidP="002F6824">
      <w:pPr>
        <w:jc w:val="both"/>
      </w:pPr>
      <w:r>
        <w:t xml:space="preserve">BINOCAR </w:t>
      </w:r>
      <w:r w:rsidR="002F6824">
        <w:t xml:space="preserve">must consider the risk of identifying individuals in their analyses prior to publication/release.  You should be on the alert for any rare and unintentional breach of confidence.  </w:t>
      </w:r>
    </w:p>
    <w:p w:rsidR="009530D1" w:rsidRDefault="009530D1" w:rsidP="002F6824">
      <w:pPr>
        <w:jc w:val="both"/>
      </w:pPr>
    </w:p>
    <w:p w:rsidR="009530D1" w:rsidRDefault="009530D1" w:rsidP="002F6824">
      <w:pPr>
        <w:jc w:val="both"/>
      </w:pPr>
      <w:r>
        <w:t xml:space="preserve">Data should normally be released at a high enough level of aggregation to prevent others being able to ‘recognise’ a particular individual.  </w:t>
      </w:r>
    </w:p>
    <w:p w:rsidR="009530D1" w:rsidRDefault="009530D1" w:rsidP="002F6824">
      <w:pPr>
        <w:jc w:val="both"/>
      </w:pPr>
    </w:p>
    <w:p w:rsidR="009530D1" w:rsidRDefault="009530D1" w:rsidP="002F6824">
      <w:pPr>
        <w:jc w:val="both"/>
      </w:pPr>
      <w:r>
        <w:t xml:space="preserve">Table 1 summarises the general rules for protecting the identity of individuals – data classified as ‘OK’ in the table may be released without restriction.  Note that where more than one rule is relevant, apply the strictest.  </w:t>
      </w:r>
    </w:p>
    <w:p w:rsidR="009530D1" w:rsidRDefault="009530D1" w:rsidP="002F6824">
      <w:pPr>
        <w:jc w:val="both"/>
      </w:pPr>
    </w:p>
    <w:p w:rsidR="009530D1" w:rsidRDefault="009530D1" w:rsidP="002F6824">
      <w:pPr>
        <w:jc w:val="both"/>
      </w:pPr>
    </w:p>
    <w:p w:rsidR="009530D1" w:rsidRDefault="009530D1" w:rsidP="002F6824">
      <w:pPr>
        <w:jc w:val="both"/>
      </w:pPr>
    </w:p>
    <w:p w:rsidR="009530D1" w:rsidRDefault="009530D1" w:rsidP="002F6824">
      <w:pPr>
        <w:jc w:val="both"/>
      </w:pPr>
    </w:p>
    <w:p w:rsidR="005A3834" w:rsidRDefault="005A3834" w:rsidP="002F6824">
      <w:pPr>
        <w:jc w:val="both"/>
      </w:pPr>
    </w:p>
    <w:p w:rsidR="009530D1" w:rsidRDefault="009530D1" w:rsidP="002F6824">
      <w:pPr>
        <w:jc w:val="both"/>
      </w:pPr>
    </w:p>
    <w:p w:rsidR="009530D1" w:rsidRDefault="009530D1" w:rsidP="002F6824">
      <w:pPr>
        <w:jc w:val="both"/>
      </w:pPr>
      <w:r>
        <w:lastRenderedPageBreak/>
        <w:t>Table 1: Summary of release guidelines</w:t>
      </w:r>
    </w:p>
    <w:p w:rsidR="009530D1" w:rsidRDefault="009530D1" w:rsidP="002F6824">
      <w:pPr>
        <w:jc w:val="both"/>
      </w:pPr>
    </w:p>
    <w:tbl>
      <w:tblPr>
        <w:tblStyle w:val="TableGrid"/>
        <w:tblW w:w="9072" w:type="dxa"/>
        <w:tblInd w:w="108" w:type="dxa"/>
        <w:tblLook w:val="04A0" w:firstRow="1" w:lastRow="0" w:firstColumn="1" w:lastColumn="0" w:noHBand="0" w:noVBand="1"/>
      </w:tblPr>
      <w:tblGrid>
        <w:gridCol w:w="2310"/>
        <w:gridCol w:w="2310"/>
        <w:gridCol w:w="2043"/>
        <w:gridCol w:w="2409"/>
      </w:tblGrid>
      <w:tr w:rsidR="009530D1" w:rsidTr="004F6992">
        <w:tc>
          <w:tcPr>
            <w:tcW w:w="2310" w:type="dxa"/>
            <w:shd w:val="clear" w:color="auto" w:fill="BFBFBF" w:themeFill="background1" w:themeFillShade="BF"/>
            <w:vAlign w:val="center"/>
          </w:tcPr>
          <w:p w:rsidR="009530D1" w:rsidRDefault="009530D1" w:rsidP="004F6992">
            <w:pPr>
              <w:jc w:val="center"/>
            </w:pPr>
            <w:r>
              <w:t>Topic of interest</w:t>
            </w:r>
          </w:p>
        </w:tc>
        <w:tc>
          <w:tcPr>
            <w:tcW w:w="2310" w:type="dxa"/>
            <w:shd w:val="clear" w:color="auto" w:fill="BFBFBF" w:themeFill="background1" w:themeFillShade="BF"/>
            <w:vAlign w:val="center"/>
          </w:tcPr>
          <w:p w:rsidR="009530D1" w:rsidRDefault="009530D1" w:rsidP="004F6992">
            <w:pPr>
              <w:jc w:val="center"/>
            </w:pPr>
            <w:r>
              <w:t>Area</w:t>
            </w:r>
          </w:p>
        </w:tc>
        <w:tc>
          <w:tcPr>
            <w:tcW w:w="2043" w:type="dxa"/>
            <w:shd w:val="clear" w:color="auto" w:fill="BFBFBF" w:themeFill="background1" w:themeFillShade="BF"/>
            <w:vAlign w:val="center"/>
          </w:tcPr>
          <w:p w:rsidR="001C70F0" w:rsidRDefault="009530D1" w:rsidP="001C70F0">
            <w:pPr>
              <w:jc w:val="center"/>
            </w:pPr>
            <w:r>
              <w:t>National</w:t>
            </w:r>
            <w:r w:rsidR="001C70F0">
              <w:t xml:space="preserve"> </w:t>
            </w:r>
          </w:p>
          <w:p w:rsidR="009530D1" w:rsidRDefault="001C70F0" w:rsidP="001C70F0">
            <w:pPr>
              <w:jc w:val="center"/>
            </w:pPr>
            <w:r>
              <w:t>(all registers combined)</w:t>
            </w:r>
          </w:p>
        </w:tc>
        <w:tc>
          <w:tcPr>
            <w:tcW w:w="2409" w:type="dxa"/>
            <w:shd w:val="clear" w:color="auto" w:fill="BFBFBF" w:themeFill="background1" w:themeFillShade="BF"/>
            <w:vAlign w:val="center"/>
          </w:tcPr>
          <w:p w:rsidR="009530D1" w:rsidRDefault="001C70F0" w:rsidP="004F6992">
            <w:pPr>
              <w:jc w:val="center"/>
            </w:pPr>
            <w:r>
              <w:t>Register or lower level</w:t>
            </w:r>
          </w:p>
        </w:tc>
      </w:tr>
      <w:tr w:rsidR="009530D1" w:rsidTr="004F6992">
        <w:tc>
          <w:tcPr>
            <w:tcW w:w="2310" w:type="dxa"/>
            <w:vAlign w:val="center"/>
          </w:tcPr>
          <w:p w:rsidR="009530D1" w:rsidRDefault="009530D1" w:rsidP="004F6992">
            <w:pPr>
              <w:jc w:val="center"/>
            </w:pPr>
            <w:r>
              <w:t>Small numbers</w:t>
            </w:r>
          </w:p>
        </w:tc>
        <w:tc>
          <w:tcPr>
            <w:tcW w:w="2310" w:type="dxa"/>
            <w:vAlign w:val="center"/>
          </w:tcPr>
          <w:p w:rsidR="009530D1" w:rsidRDefault="001C70F0" w:rsidP="004F6992">
            <w:pPr>
              <w:jc w:val="center"/>
            </w:pPr>
            <w:r>
              <w:t>1-4</w:t>
            </w:r>
            <w:r w:rsidR="009530D1">
              <w:t xml:space="preserve"> acceptable in any individual cell?</w:t>
            </w:r>
          </w:p>
        </w:tc>
        <w:tc>
          <w:tcPr>
            <w:tcW w:w="2043" w:type="dxa"/>
            <w:vAlign w:val="center"/>
          </w:tcPr>
          <w:p w:rsidR="009530D1" w:rsidRDefault="009530D1" w:rsidP="004F6992">
            <w:pPr>
              <w:jc w:val="center"/>
            </w:pPr>
            <w:r>
              <w:t>OK</w:t>
            </w:r>
          </w:p>
        </w:tc>
        <w:tc>
          <w:tcPr>
            <w:tcW w:w="2409" w:type="dxa"/>
            <w:vAlign w:val="center"/>
          </w:tcPr>
          <w:p w:rsidR="009530D1" w:rsidRDefault="001C70F0" w:rsidP="004F6992">
            <w:pPr>
              <w:jc w:val="center"/>
            </w:pPr>
            <w:r>
              <w:t>S</w:t>
            </w:r>
            <w:r w:rsidR="009530D1">
              <w:t>uppress</w:t>
            </w:r>
          </w:p>
        </w:tc>
      </w:tr>
    </w:tbl>
    <w:p w:rsidR="009530D1" w:rsidRDefault="009530D1" w:rsidP="002F6824">
      <w:pPr>
        <w:jc w:val="both"/>
      </w:pPr>
      <w:r>
        <w:t xml:space="preserve"> </w:t>
      </w:r>
    </w:p>
    <w:p w:rsidR="009530D1" w:rsidRDefault="009530D1" w:rsidP="002F6824">
      <w:pPr>
        <w:jc w:val="both"/>
      </w:pPr>
    </w:p>
    <w:p w:rsidR="009530D1" w:rsidRPr="009530D1" w:rsidRDefault="009530D1" w:rsidP="002F6824">
      <w:pPr>
        <w:jc w:val="both"/>
        <w:rPr>
          <w:b/>
          <w:u w:val="single"/>
        </w:rPr>
      </w:pPr>
      <w:r w:rsidRPr="009530D1">
        <w:rPr>
          <w:b/>
          <w:u w:val="single"/>
        </w:rPr>
        <w:t>Small numbers</w:t>
      </w:r>
    </w:p>
    <w:p w:rsidR="009530D1" w:rsidRDefault="009530D1" w:rsidP="002F6824">
      <w:pPr>
        <w:jc w:val="both"/>
      </w:pPr>
    </w:p>
    <w:p w:rsidR="009530D1" w:rsidRDefault="005A3834" w:rsidP="002F6824">
      <w:pPr>
        <w:jc w:val="both"/>
      </w:pPr>
      <w:r>
        <w:t xml:space="preserve">‘Small numbers’ in BINOCAR </w:t>
      </w:r>
      <w:r w:rsidR="001C70F0">
        <w:t>are the numbers 1 to 4</w:t>
      </w:r>
      <w:r w:rsidR="009530D1">
        <w:t xml:space="preserve">.  Low-level analyses are more likely to contain small numbers, which might facilitate identification of individual patients, especially at </w:t>
      </w:r>
      <w:r w:rsidR="001C70F0">
        <w:t>register</w:t>
      </w:r>
      <w:r w:rsidR="009530D1">
        <w:t xml:space="preserve"> level.  </w:t>
      </w:r>
    </w:p>
    <w:p w:rsidR="009530D1" w:rsidRDefault="009530D1" w:rsidP="002F6824">
      <w:pPr>
        <w:jc w:val="both"/>
      </w:pPr>
    </w:p>
    <w:p w:rsidR="009530D1" w:rsidRDefault="0097120B" w:rsidP="002F6824">
      <w:pPr>
        <w:jc w:val="both"/>
      </w:pPr>
      <w:r>
        <w:t xml:space="preserve">Small numbers are not necessarily a problem when they cover a broad geographical area, because the patient would not normally be identifiable.  However, data that are likely to be more sensitive, </w:t>
      </w:r>
      <w:r w:rsidR="001C70F0">
        <w:t>e.g.</w:t>
      </w:r>
      <w:r>
        <w:t xml:space="preserve"> deaths, abortions, should still be treated with care if they are likely to identify individuals.  </w:t>
      </w:r>
    </w:p>
    <w:p w:rsidR="0097120B" w:rsidRDefault="0097120B" w:rsidP="002F6824">
      <w:pPr>
        <w:jc w:val="both"/>
      </w:pPr>
    </w:p>
    <w:p w:rsidR="0097120B" w:rsidRDefault="0097120B" w:rsidP="002F6824">
      <w:pPr>
        <w:jc w:val="both"/>
      </w:pPr>
      <w:r>
        <w:t>When</w:t>
      </w:r>
      <w:r w:rsidR="005A3834">
        <w:t xml:space="preserve"> publishing BINOCAR </w:t>
      </w:r>
      <w:r>
        <w:t>data, you must make s</w:t>
      </w:r>
      <w:r w:rsidR="001C70F0">
        <w:t>ure that cell values from 1 to 4 are suppressed at register</w:t>
      </w:r>
      <w:r>
        <w:t xml:space="preserve"> level to prevent possible identification of individuals from s</w:t>
      </w:r>
      <w:r w:rsidR="001C70F0">
        <w:t>mall counts within the tables (z</w:t>
      </w:r>
      <w:r>
        <w:t xml:space="preserve">eros do not need to be suppressed).  If only one cell requires cell suppression, you must suppress at least one other component cell (the next smallest) to avoid calculation of suppressed values from the totals.  </w:t>
      </w:r>
      <w:r w:rsidR="00116841">
        <w:t xml:space="preserve">Any rates or percentages calculated using data from suppressed cells will also need to be supressed to avoid calculation from the denominators.  </w:t>
      </w:r>
      <w:r>
        <w:t>You should replace these values with ‘*’ and add a note:</w:t>
      </w:r>
    </w:p>
    <w:p w:rsidR="0097120B" w:rsidRDefault="0097120B" w:rsidP="002F6824">
      <w:pPr>
        <w:jc w:val="both"/>
      </w:pPr>
    </w:p>
    <w:p w:rsidR="0097120B" w:rsidRDefault="001C70F0" w:rsidP="001C70F0">
      <w:pPr>
        <w:jc w:val="center"/>
      </w:pPr>
      <w:r>
        <w:t>* These cells have been suppressed to protect the confidentiality of individuals</w:t>
      </w:r>
    </w:p>
    <w:p w:rsidR="0097120B" w:rsidRDefault="0097120B" w:rsidP="002F6824">
      <w:pPr>
        <w:jc w:val="both"/>
      </w:pPr>
    </w:p>
    <w:p w:rsidR="0097120B" w:rsidRDefault="0097120B" w:rsidP="002F6824">
      <w:pPr>
        <w:jc w:val="both"/>
      </w:pPr>
      <w:r>
        <w:t>An alternative t</w:t>
      </w:r>
      <w:r w:rsidR="001C70F0">
        <w:t>o suppressing values from 1 to 4</w:t>
      </w:r>
      <w:r>
        <w:t xml:space="preserve"> is to consider a higher level of aggregation for one or more items.  A higher level of aggregation is the preferred option if several cells are affected by the suppression rule.</w:t>
      </w:r>
    </w:p>
    <w:p w:rsidR="0097120B" w:rsidRDefault="0097120B" w:rsidP="002F6824">
      <w:pPr>
        <w:jc w:val="both"/>
      </w:pPr>
    </w:p>
    <w:p w:rsidR="0097120B" w:rsidRDefault="0097120B" w:rsidP="002F6824">
      <w:pPr>
        <w:jc w:val="both"/>
        <w:rPr>
          <w:b/>
          <w:u w:val="single"/>
        </w:rPr>
      </w:pPr>
      <w:r>
        <w:rPr>
          <w:b/>
          <w:u w:val="single"/>
        </w:rPr>
        <w:t>Abortions</w:t>
      </w:r>
    </w:p>
    <w:p w:rsidR="0097120B" w:rsidRDefault="0097120B" w:rsidP="002F6824">
      <w:pPr>
        <w:jc w:val="both"/>
        <w:rPr>
          <w:b/>
          <w:u w:val="single"/>
        </w:rPr>
      </w:pPr>
    </w:p>
    <w:p w:rsidR="0097120B" w:rsidRDefault="00E966D8" w:rsidP="002F6824">
      <w:pPr>
        <w:jc w:val="both"/>
      </w:pPr>
      <w:r>
        <w:t>Small numbers and cells that may breach confidentiality:</w:t>
      </w:r>
    </w:p>
    <w:p w:rsidR="00E966D8" w:rsidRDefault="00E966D8" w:rsidP="00E966D8">
      <w:pPr>
        <w:pStyle w:val="ListParagraph"/>
        <w:numPr>
          <w:ilvl w:val="0"/>
          <w:numId w:val="4"/>
        </w:numPr>
        <w:jc w:val="both"/>
      </w:pPr>
      <w:r>
        <w:t>From consideration of the risk scenarios the unsafe cells for abortion statistics are those for which:</w:t>
      </w:r>
    </w:p>
    <w:p w:rsidR="00E966D8" w:rsidRDefault="00E966D8" w:rsidP="00E966D8">
      <w:pPr>
        <w:pStyle w:val="ListParagraph"/>
        <w:numPr>
          <w:ilvl w:val="1"/>
          <w:numId w:val="4"/>
        </w:numPr>
        <w:jc w:val="both"/>
      </w:pPr>
      <w:r>
        <w:t>The count if zero unless no other value is logically possible</w:t>
      </w:r>
    </w:p>
    <w:p w:rsidR="00E966D8" w:rsidRDefault="00E966D8" w:rsidP="00E966D8">
      <w:pPr>
        <w:pStyle w:val="ListParagraph"/>
        <w:numPr>
          <w:ilvl w:val="1"/>
          <w:numId w:val="4"/>
        </w:numPr>
        <w:jc w:val="both"/>
      </w:pPr>
      <w:r>
        <w:t>The count if below 4 for a GRO in England or the other countries in the UK and Ireland</w:t>
      </w:r>
    </w:p>
    <w:p w:rsidR="00E966D8" w:rsidRDefault="00E966D8" w:rsidP="00E966D8">
      <w:pPr>
        <w:pStyle w:val="ListParagraph"/>
        <w:numPr>
          <w:ilvl w:val="1"/>
          <w:numId w:val="4"/>
        </w:numPr>
        <w:jc w:val="both"/>
      </w:pPr>
      <w:r>
        <w:t>It is less than 10 and the area concerned is smaller than GRO in England</w:t>
      </w:r>
    </w:p>
    <w:p w:rsidR="00E966D8" w:rsidRDefault="00E966D8" w:rsidP="00E966D8">
      <w:pPr>
        <w:pStyle w:val="ListParagraph"/>
        <w:numPr>
          <w:ilvl w:val="1"/>
          <w:numId w:val="4"/>
        </w:numPr>
        <w:jc w:val="both"/>
      </w:pPr>
      <w:r>
        <w:t>It is less than 10 and the variables are considered highly sensitive</w:t>
      </w:r>
    </w:p>
    <w:p w:rsidR="00E966D8" w:rsidRDefault="00E966D8" w:rsidP="00E966D8">
      <w:pPr>
        <w:jc w:val="both"/>
      </w:pPr>
    </w:p>
    <w:p w:rsidR="00E966D8" w:rsidRDefault="00E966D8" w:rsidP="00E966D8">
      <w:pPr>
        <w:jc w:val="both"/>
      </w:pPr>
      <w:r>
        <w:t>Other highly sensitive variables:</w:t>
      </w:r>
    </w:p>
    <w:p w:rsidR="00E966D8" w:rsidRDefault="00E966D8" w:rsidP="00E966D8">
      <w:pPr>
        <w:pStyle w:val="ListParagraph"/>
        <w:numPr>
          <w:ilvl w:val="0"/>
          <w:numId w:val="4"/>
        </w:numPr>
        <w:jc w:val="both"/>
      </w:pPr>
      <w:r>
        <w:t>Young ages (&lt;15)</w:t>
      </w:r>
    </w:p>
    <w:p w:rsidR="00E966D8" w:rsidRDefault="00E966D8" w:rsidP="00E966D8">
      <w:pPr>
        <w:pStyle w:val="ListParagraph"/>
        <w:numPr>
          <w:ilvl w:val="0"/>
          <w:numId w:val="4"/>
        </w:numPr>
        <w:jc w:val="both"/>
      </w:pPr>
      <w:r>
        <w:t>Late gestations (over 24 weeks)</w:t>
      </w:r>
    </w:p>
    <w:p w:rsidR="00E966D8" w:rsidRDefault="00E966D8" w:rsidP="00E966D8">
      <w:pPr>
        <w:pStyle w:val="ListParagraph"/>
        <w:numPr>
          <w:ilvl w:val="0"/>
          <w:numId w:val="4"/>
        </w:numPr>
        <w:jc w:val="both"/>
      </w:pPr>
      <w:r>
        <w:t>Procedure by gestation</w:t>
      </w:r>
    </w:p>
    <w:p w:rsidR="00E966D8" w:rsidRDefault="00E966D8" w:rsidP="00E966D8">
      <w:pPr>
        <w:pStyle w:val="ListParagraph"/>
        <w:numPr>
          <w:ilvl w:val="0"/>
          <w:numId w:val="4"/>
        </w:numPr>
        <w:jc w:val="both"/>
      </w:pPr>
      <w:r>
        <w:t>Medical conditions</w:t>
      </w:r>
    </w:p>
    <w:p w:rsidR="00E966D8" w:rsidRDefault="00E966D8" w:rsidP="00E966D8">
      <w:pPr>
        <w:jc w:val="both"/>
      </w:pPr>
    </w:p>
    <w:p w:rsidR="001C70F0" w:rsidRDefault="001C70F0" w:rsidP="00E966D8">
      <w:pPr>
        <w:jc w:val="both"/>
      </w:pPr>
    </w:p>
    <w:p w:rsidR="001C70F0" w:rsidRDefault="001C70F0" w:rsidP="00E966D8">
      <w:pPr>
        <w:jc w:val="both"/>
      </w:pPr>
    </w:p>
    <w:p w:rsidR="00E966D8" w:rsidRPr="00E966D8" w:rsidRDefault="00E966D8" w:rsidP="00E966D8">
      <w:pPr>
        <w:jc w:val="center"/>
        <w:rPr>
          <w:b/>
          <w:sz w:val="28"/>
          <w:szCs w:val="28"/>
          <w:u w:val="single"/>
        </w:rPr>
      </w:pPr>
      <w:r w:rsidRPr="00E966D8">
        <w:rPr>
          <w:b/>
          <w:sz w:val="28"/>
          <w:szCs w:val="28"/>
          <w:u w:val="single"/>
        </w:rPr>
        <w:lastRenderedPageBreak/>
        <w:t>Risk assessment</w:t>
      </w:r>
    </w:p>
    <w:p w:rsidR="00E966D8" w:rsidRDefault="00E966D8" w:rsidP="00E966D8">
      <w:pPr>
        <w:jc w:val="both"/>
      </w:pPr>
    </w:p>
    <w:p w:rsidR="00E966D8" w:rsidRDefault="00E966D8" w:rsidP="00E966D8">
      <w:pPr>
        <w:jc w:val="both"/>
      </w:pPr>
      <w:r>
        <w:t xml:space="preserve">In order to develop suitable confidentiality protection, a risk assessment </w:t>
      </w:r>
      <w:r w:rsidR="001C70F0">
        <w:t>has</w:t>
      </w:r>
      <w:r>
        <w:t xml:space="preserve"> be</w:t>
      </w:r>
      <w:r w:rsidR="001C70F0">
        <w:t>en</w:t>
      </w:r>
      <w:r>
        <w:t xml:space="preserve"> undertaken.  Risk is a function of likelihood (related to the design of the table) and impact of disclosure (related to the nature of the underlying data).  </w:t>
      </w:r>
      <w:r w:rsidR="001C70F0">
        <w:t>A decision</w:t>
      </w:r>
      <w:r>
        <w:t xml:space="preserve"> on likelihood and impact </w:t>
      </w:r>
      <w:r w:rsidR="001C70F0">
        <w:t>has</w:t>
      </w:r>
      <w:r>
        <w:t xml:space="preserve"> be</w:t>
      </w:r>
      <w:r w:rsidR="001C70F0">
        <w:t>en</w:t>
      </w:r>
      <w:r>
        <w:t xml:space="preserve"> made by those who have a detailed understanding of the statistics and experience of the interest in the figures.  It </w:t>
      </w:r>
      <w:r w:rsidR="001C70F0">
        <w:t>wa</w:t>
      </w:r>
      <w:r>
        <w:t xml:space="preserve">s important to consider the views of patients in the assessment of the impact of potential identification.  In order to be explicit about the disclosure risks to be managed a range of potentially disclosive situations and </w:t>
      </w:r>
      <w:r w:rsidR="001C70F0">
        <w:t xml:space="preserve">the </w:t>
      </w:r>
      <w:r>
        <w:t>action</w:t>
      </w:r>
      <w:r w:rsidR="001C70F0">
        <w:t>s</w:t>
      </w:r>
      <w:r>
        <w:t xml:space="preserve"> to prevent them</w:t>
      </w:r>
      <w:r w:rsidR="001C70F0">
        <w:t xml:space="preserve"> were considered</w:t>
      </w:r>
      <w:r>
        <w:t xml:space="preserve">.  </w:t>
      </w:r>
      <w:r w:rsidR="001C70F0">
        <w:t>S</w:t>
      </w:r>
      <w:r>
        <w:t xml:space="preserve">ituations </w:t>
      </w:r>
      <w:r w:rsidR="001C70F0">
        <w:t>were</w:t>
      </w:r>
      <w:r>
        <w:t xml:space="preserve"> used to identify those parts of the statistical table that could lead to disclosure, termed ‘unsafe’ cells (containing small counts).  Appropriate confidentiality rules </w:t>
      </w:r>
      <w:r w:rsidR="001C70F0">
        <w:t xml:space="preserve">will </w:t>
      </w:r>
      <w:r>
        <w:t xml:space="preserve">be applied to these cells.  It is not possible to protect against all risks, this is a risk management not a risk elimination exercise.  </w:t>
      </w:r>
    </w:p>
    <w:p w:rsidR="00E966D8" w:rsidRDefault="00E966D8" w:rsidP="00E966D8">
      <w:pPr>
        <w:jc w:val="both"/>
      </w:pPr>
    </w:p>
    <w:p w:rsidR="00E966D8" w:rsidRPr="001E73A2" w:rsidRDefault="00E966D8" w:rsidP="00E966D8">
      <w:pPr>
        <w:jc w:val="both"/>
        <w:rPr>
          <w:u w:val="single"/>
        </w:rPr>
      </w:pPr>
      <w:r w:rsidRPr="001E73A2">
        <w:rPr>
          <w:u w:val="single"/>
        </w:rPr>
        <w:t>General attribute disclosure</w:t>
      </w:r>
    </w:p>
    <w:p w:rsidR="00E966D8" w:rsidRDefault="00E966D8" w:rsidP="00E966D8">
      <w:pPr>
        <w:jc w:val="both"/>
      </w:pPr>
    </w:p>
    <w:p w:rsidR="00E966D8" w:rsidRDefault="00E966D8" w:rsidP="00E966D8">
      <w:pPr>
        <w:jc w:val="both"/>
      </w:pPr>
      <w:r>
        <w:t>General attribute disclosure arises when someone who has some information about a statistical unit could, with the help of data from the table, discover details that were previously not known to them.</w:t>
      </w:r>
      <w:r w:rsidR="001E73A2">
        <w:t xml:space="preserve">  Disclosure may arise if there is a count of 1 in a marginal total (row or column).  Anyone who knows that a particular individual is within a particular group would learn the information it is cross tabulated with.  Attribute disclosure could occur from a count of 2 in a marginal total where one of the units may identify the other and thereby disclose further information.</w:t>
      </w:r>
    </w:p>
    <w:p w:rsidR="001E73A2" w:rsidRDefault="001E73A2" w:rsidP="00E966D8">
      <w:pPr>
        <w:jc w:val="both"/>
      </w:pPr>
    </w:p>
    <w:p w:rsidR="001E73A2" w:rsidRDefault="001E73A2" w:rsidP="00E966D8">
      <w:pPr>
        <w:jc w:val="both"/>
      </w:pPr>
      <w:r>
        <w:t>Disclosure can also occur from cells with larger values, where they appear in a row or column dominated by zeros.  A zero in population data allows one to say that no-one in the population has that attribute.  The risk from many zeros within tables will not be significant, but, in some cases, they may need to be protected.</w:t>
      </w:r>
    </w:p>
    <w:p w:rsidR="001E73A2" w:rsidRDefault="001E73A2" w:rsidP="00E966D8">
      <w:pPr>
        <w:jc w:val="both"/>
      </w:pPr>
    </w:p>
    <w:p w:rsidR="001E73A2" w:rsidRDefault="001E73A2" w:rsidP="00E966D8">
      <w:pPr>
        <w:jc w:val="both"/>
      </w:pPr>
      <w:r>
        <w:t xml:space="preserve">Disclosure risks may increase where groups of units that appear in the same table know enough about each other to identify each other and potentially discover something new.  </w:t>
      </w:r>
    </w:p>
    <w:p w:rsidR="001E73A2" w:rsidRDefault="001E73A2" w:rsidP="00E966D8">
      <w:pPr>
        <w:jc w:val="both"/>
      </w:pPr>
    </w:p>
    <w:p w:rsidR="001E73A2" w:rsidRDefault="001E73A2" w:rsidP="00E966D8">
      <w:pPr>
        <w:jc w:val="both"/>
      </w:pPr>
      <w:r>
        <w:t>In order to protect against general attribute disclosure, at a minimum, care should be taken where rows or columns are dominated by zeros and in particular where a marginal total is a 1 or 2.</w:t>
      </w:r>
    </w:p>
    <w:p w:rsidR="001E73A2" w:rsidRDefault="001E73A2" w:rsidP="00E966D8">
      <w:pPr>
        <w:jc w:val="both"/>
      </w:pPr>
    </w:p>
    <w:p w:rsidR="001E73A2" w:rsidRPr="001E73A2" w:rsidRDefault="001E73A2" w:rsidP="00E966D8">
      <w:pPr>
        <w:jc w:val="both"/>
        <w:rPr>
          <w:u w:val="single"/>
        </w:rPr>
      </w:pPr>
      <w:r w:rsidRPr="001E73A2">
        <w:rPr>
          <w:u w:val="single"/>
        </w:rPr>
        <w:t>‘The Motivated Intruder’</w:t>
      </w:r>
    </w:p>
    <w:p w:rsidR="001E73A2" w:rsidRDefault="001E73A2" w:rsidP="00E966D8">
      <w:pPr>
        <w:jc w:val="both"/>
      </w:pPr>
    </w:p>
    <w:p w:rsidR="001E73A2" w:rsidRDefault="001E73A2" w:rsidP="00E966D8">
      <w:pPr>
        <w:jc w:val="both"/>
      </w:pPr>
      <w:r>
        <w:t>Data in a table is combined with information from local sources to identify a statistical unit and disclose further details.</w:t>
      </w:r>
    </w:p>
    <w:p w:rsidR="001E73A2" w:rsidRDefault="001E73A2" w:rsidP="00E966D8">
      <w:pPr>
        <w:jc w:val="both"/>
      </w:pPr>
    </w:p>
    <w:p w:rsidR="001E73A2" w:rsidRDefault="001E73A2" w:rsidP="00E966D8">
      <w:pPr>
        <w:jc w:val="both"/>
      </w:pPr>
      <w:r>
        <w:t>This situation may occur when small values are reported for particular cells.  In a large population (for example a country or region), the effort and expertise required to discover more details about the statistical unit may be deemed to be disproportionate.  As the base population is decreased by moving to smaller geographies or sub-populations, it becomes easier to find units and discover information.</w:t>
      </w:r>
    </w:p>
    <w:p w:rsidR="001E73A2" w:rsidRDefault="001E73A2" w:rsidP="00E966D8">
      <w:pPr>
        <w:jc w:val="both"/>
      </w:pPr>
    </w:p>
    <w:p w:rsidR="001E73A2" w:rsidRDefault="003844AD" w:rsidP="00E966D8">
      <w:pPr>
        <w:jc w:val="both"/>
      </w:pPr>
      <w:r>
        <w:t>In order to protect against a motivated intruder, at a minimum, all cell counts for 1 or 2 for geographies below LAD level or PCO in England and LHB in Wales or equivalent are defined unsafe. This geographical level is provided as a general guideline to reflect that disclosure risk increases with smaller geographies.  There may well be instances where some areas below this level are quite large and do not pose a particular risk under this scenario.</w:t>
      </w:r>
    </w:p>
    <w:p w:rsidR="003844AD" w:rsidRDefault="003844AD" w:rsidP="00E966D8">
      <w:pPr>
        <w:jc w:val="both"/>
      </w:pPr>
    </w:p>
    <w:p w:rsidR="003844AD" w:rsidRDefault="003844AD" w:rsidP="00E966D8">
      <w:pPr>
        <w:jc w:val="both"/>
      </w:pPr>
    </w:p>
    <w:p w:rsidR="003844AD" w:rsidRPr="001C70F0" w:rsidRDefault="003844AD" w:rsidP="00E966D8">
      <w:pPr>
        <w:jc w:val="both"/>
        <w:rPr>
          <w:u w:val="single"/>
        </w:rPr>
      </w:pPr>
      <w:r w:rsidRPr="001C70F0">
        <w:rPr>
          <w:u w:val="single"/>
        </w:rPr>
        <w:lastRenderedPageBreak/>
        <w:t>Identi</w:t>
      </w:r>
      <w:bookmarkStart w:id="0" w:name="_GoBack"/>
      <w:bookmarkEnd w:id="0"/>
      <w:r w:rsidRPr="001C70F0">
        <w:rPr>
          <w:u w:val="single"/>
        </w:rPr>
        <w:t>fication and self-identification</w:t>
      </w:r>
    </w:p>
    <w:p w:rsidR="003844AD" w:rsidRDefault="003844AD" w:rsidP="00E966D8">
      <w:pPr>
        <w:jc w:val="both"/>
      </w:pPr>
    </w:p>
    <w:p w:rsidR="003844AD" w:rsidRDefault="003844AD" w:rsidP="00E966D8">
      <w:pPr>
        <w:jc w:val="both"/>
      </w:pPr>
      <w:r>
        <w:t>Where a cell has a large value, risks arising from identification are not usually significant.  Where a cell has a small value, particularly if the count is 1, this does need more consideration as identification or self-identification can lead to the discovery or rareness, or even uniqueness, in the population of the statistic.  Hence there is a different between being able to say that someone belongs to a population in a cell with a value of say, 162, and being able to say that a particular named person is the individual in a cell with a value of 1.  For certain types of information, rareness or uniqueness may encourage other to seek out the individual.  The threat or reality of this could cause harm or distress to the individual, or may lead them to claim that the statistics are inadequate to protect them, and therefore others.</w:t>
      </w:r>
    </w:p>
    <w:p w:rsidR="003844AD" w:rsidRDefault="003844AD" w:rsidP="00E966D8">
      <w:pPr>
        <w:jc w:val="both"/>
      </w:pPr>
    </w:p>
    <w:p w:rsidR="003844AD" w:rsidRDefault="003844AD" w:rsidP="00E966D8">
      <w:pPr>
        <w:jc w:val="both"/>
      </w:pPr>
      <w:r>
        <w:t>Identification or self-identifications will occur from any cells with a count of 1, representing one statistical unit.  The same is true of cells with a value of 2 representing two units, where one of the units contributing to the cell may identify the other.  This could occur when groups of people or organisations who know enough to identify each other appear in the same table.</w:t>
      </w:r>
    </w:p>
    <w:p w:rsidR="003844AD" w:rsidRDefault="003844AD" w:rsidP="00E966D8">
      <w:pPr>
        <w:jc w:val="both"/>
      </w:pPr>
    </w:p>
    <w:p w:rsidR="003844AD" w:rsidRDefault="003844AD" w:rsidP="00E966D8">
      <w:pPr>
        <w:jc w:val="both"/>
      </w:pPr>
      <w:r>
        <w:t>In order to protect against unique identification/self-identification, at a minimum all cells of size 1 or 2 are usually considered unsafe.  Although direct identification/self-identification is not necessarily a significant risk, protection is often required since identification can lead to attribute disclosure when more than one table is disseminated from a data source.  The identified individual in an internal cell of a table can become a marginal cell in another table and a new attribute could be learned.</w:t>
      </w:r>
    </w:p>
    <w:p w:rsidR="003844AD" w:rsidRDefault="003844AD" w:rsidP="00E966D8">
      <w:pPr>
        <w:jc w:val="both"/>
      </w:pPr>
    </w:p>
    <w:p w:rsidR="003844AD" w:rsidRPr="001C70F0" w:rsidRDefault="003844AD" w:rsidP="00E966D8">
      <w:pPr>
        <w:jc w:val="both"/>
        <w:rPr>
          <w:u w:val="single"/>
        </w:rPr>
      </w:pPr>
      <w:r w:rsidRPr="001C70F0">
        <w:rPr>
          <w:u w:val="single"/>
        </w:rPr>
        <w:t>Risk categories</w:t>
      </w:r>
    </w:p>
    <w:p w:rsidR="003844AD" w:rsidRDefault="003844AD" w:rsidP="00E966D8">
      <w:pPr>
        <w:jc w:val="both"/>
      </w:pPr>
    </w:p>
    <w:p w:rsidR="003844AD" w:rsidRDefault="00B91819" w:rsidP="00E966D8">
      <w:pPr>
        <w:jc w:val="both"/>
      </w:pPr>
      <w:r>
        <w:t xml:space="preserve">A risk assessment exercise </w:t>
      </w:r>
      <w:r w:rsidR="00FF17A0">
        <w:t xml:space="preserve">has </w:t>
      </w:r>
      <w:r>
        <w:t>be</w:t>
      </w:r>
      <w:r w:rsidR="00FF17A0">
        <w:t>en</w:t>
      </w:r>
      <w:r>
        <w:t xml:space="preserve"> undertaken to develop suitable confidentiality rules for different datasets.  In practice it is likely that producers of statistics will find that outputs can be placed into one of three broad risk categories, defined in terms of the likelihood of an attempt to identify individuals, and the impact of any identification.  Decisions on the likelihood and impact of identification should be made by those with a detailed knowledge of the data.</w:t>
      </w:r>
    </w:p>
    <w:p w:rsidR="00B91819" w:rsidRDefault="00B91819" w:rsidP="00E966D8">
      <w:pPr>
        <w:jc w:val="both"/>
      </w:pPr>
    </w:p>
    <w:p w:rsidR="006742AC" w:rsidRDefault="006742AC" w:rsidP="006742AC">
      <w:pPr>
        <w:jc w:val="both"/>
      </w:pPr>
      <w:r w:rsidRPr="0038691E">
        <w:rPr>
          <w:b/>
        </w:rPr>
        <w:t>High Risk</w:t>
      </w:r>
      <w:r>
        <w:t>: For some health statistics the likelihood of an identification attempt will be higher, and the impact of any successful identification would be great, e.g. statistics on abortions, AIDS/HIV, STDs.  In order to ensure protection all cells of size 1 to 4 are considered unsafe and care should be taken where a row or column is dominated by zeros.  Higher levels of protection may be required for small geographical levels or for particular variables with an extremely high level of interest and impact.</w:t>
      </w:r>
    </w:p>
    <w:p w:rsidR="006742AC" w:rsidRDefault="006742AC" w:rsidP="00E966D8">
      <w:pPr>
        <w:jc w:val="both"/>
        <w:rPr>
          <w:b/>
        </w:rPr>
      </w:pPr>
    </w:p>
    <w:p w:rsidR="00B91819" w:rsidRDefault="00B91819" w:rsidP="00E966D8">
      <w:pPr>
        <w:jc w:val="both"/>
      </w:pPr>
      <w:r w:rsidRPr="00B91819">
        <w:rPr>
          <w:b/>
        </w:rPr>
        <w:t>Medium Risk</w:t>
      </w:r>
      <w:r>
        <w:t>:  In order to ensure protection from the disclosive situations described above for the majority of health statistics it will be sufficient to consider all cells of size 1 or 2 unsafe.  Care should also be taken where a row or column is dominated by zeros.</w:t>
      </w:r>
    </w:p>
    <w:p w:rsidR="0038691E" w:rsidRDefault="0038691E" w:rsidP="00E966D8">
      <w:pPr>
        <w:jc w:val="both"/>
      </w:pPr>
    </w:p>
    <w:p w:rsidR="0038691E" w:rsidRDefault="0038691E" w:rsidP="00E966D8">
      <w:pPr>
        <w:jc w:val="both"/>
      </w:pPr>
      <w:r w:rsidRPr="0038691E">
        <w:rPr>
          <w:b/>
        </w:rPr>
        <w:t>Low Risk</w:t>
      </w:r>
      <w:r>
        <w:t xml:space="preserve">: For some health statistics the likelihood of an attempt at identification may be considered to be lower if tables are disseminated at a high level of aggregation and only limited tables are produced from the one database, </w:t>
      </w:r>
      <w:r w:rsidR="006742AC">
        <w:t>i.e.</w:t>
      </w:r>
      <w:r>
        <w:t xml:space="preserve"> no risks from linking between current and future releases.  A high level of aggregation reflects that the likelihood of disclosure decreases as the size of the population of the statistic increases.  Also in the majority of cases tables produced below this level contain a high proportion of unsafe calls and the utility of such a table would be diminished.  The level of aggregation will depend on the detail of the variables spanning the table.  As a guide, in terms of geography a high level of aggregation should be interpreted as LAD or PCO in England and LHB in Wales and above.  Likelihood of an attempt at identification will also decrease if the </w:t>
      </w:r>
      <w:r>
        <w:lastRenderedPageBreak/>
        <w:t>population base or the coverage of the table is not easily identifiable.  If the impact of any successful identification is also low then the health statistic in this category will not usually require any protection beyond good table design.  However, in order to prevent attribute disclosure care should be taken where rows or columns are dominated by zeros and in particular where a marginal total is a 1 or 2.</w:t>
      </w:r>
    </w:p>
    <w:p w:rsidR="0038691E" w:rsidRDefault="0038691E" w:rsidP="00E966D8">
      <w:pPr>
        <w:jc w:val="both"/>
      </w:pPr>
    </w:p>
    <w:p w:rsidR="0038691E" w:rsidRDefault="004F6992" w:rsidP="00E966D8">
      <w:pPr>
        <w:jc w:val="both"/>
      </w:pPr>
      <w:r>
        <w:t>Table 2: Statistical disclosure control methods</w:t>
      </w:r>
    </w:p>
    <w:p w:rsidR="004F6992" w:rsidRDefault="004F6992" w:rsidP="00E966D8">
      <w:pPr>
        <w:jc w:val="both"/>
      </w:pPr>
    </w:p>
    <w:tbl>
      <w:tblPr>
        <w:tblStyle w:val="TableGrid"/>
        <w:tblW w:w="9340" w:type="dxa"/>
        <w:tblLook w:val="04A0" w:firstRow="1" w:lastRow="0" w:firstColumn="1" w:lastColumn="0" w:noHBand="0" w:noVBand="1"/>
      </w:tblPr>
      <w:tblGrid>
        <w:gridCol w:w="1529"/>
        <w:gridCol w:w="2305"/>
        <w:gridCol w:w="1831"/>
        <w:gridCol w:w="1839"/>
        <w:gridCol w:w="1836"/>
      </w:tblGrid>
      <w:tr w:rsidR="004F6992" w:rsidTr="00C91319">
        <w:tc>
          <w:tcPr>
            <w:tcW w:w="1526" w:type="dxa"/>
            <w:shd w:val="clear" w:color="auto" w:fill="BFBFBF" w:themeFill="background1" w:themeFillShade="BF"/>
            <w:vAlign w:val="center"/>
          </w:tcPr>
          <w:p w:rsidR="004F6992" w:rsidRDefault="004F6992" w:rsidP="004F6992">
            <w:pPr>
              <w:jc w:val="center"/>
            </w:pPr>
            <w:r>
              <w:t>Method</w:t>
            </w:r>
          </w:p>
        </w:tc>
        <w:tc>
          <w:tcPr>
            <w:tcW w:w="2268" w:type="dxa"/>
            <w:shd w:val="clear" w:color="auto" w:fill="BFBFBF" w:themeFill="background1" w:themeFillShade="BF"/>
            <w:vAlign w:val="center"/>
          </w:tcPr>
          <w:p w:rsidR="004F6992" w:rsidRDefault="004F6992" w:rsidP="004F6992">
            <w:pPr>
              <w:jc w:val="center"/>
            </w:pPr>
            <w:r>
              <w:t>Description</w:t>
            </w:r>
          </w:p>
        </w:tc>
        <w:tc>
          <w:tcPr>
            <w:tcW w:w="1848" w:type="dxa"/>
            <w:shd w:val="clear" w:color="auto" w:fill="BFBFBF" w:themeFill="background1" w:themeFillShade="BF"/>
            <w:vAlign w:val="center"/>
          </w:tcPr>
          <w:p w:rsidR="004F6992" w:rsidRDefault="004F6992" w:rsidP="004F6992">
            <w:pPr>
              <w:jc w:val="center"/>
            </w:pPr>
            <w:r>
              <w:t>Advantages</w:t>
            </w:r>
          </w:p>
        </w:tc>
        <w:tc>
          <w:tcPr>
            <w:tcW w:w="1849" w:type="dxa"/>
            <w:shd w:val="clear" w:color="auto" w:fill="BFBFBF" w:themeFill="background1" w:themeFillShade="BF"/>
            <w:vAlign w:val="center"/>
          </w:tcPr>
          <w:p w:rsidR="004F6992" w:rsidRDefault="004F6992" w:rsidP="004F6992">
            <w:pPr>
              <w:jc w:val="center"/>
            </w:pPr>
            <w:r>
              <w:t>Disadvantages</w:t>
            </w:r>
          </w:p>
        </w:tc>
        <w:tc>
          <w:tcPr>
            <w:tcW w:w="1849" w:type="dxa"/>
            <w:shd w:val="clear" w:color="auto" w:fill="BFBFBF" w:themeFill="background1" w:themeFillShade="BF"/>
            <w:vAlign w:val="center"/>
          </w:tcPr>
          <w:p w:rsidR="004F6992" w:rsidRDefault="004F6992" w:rsidP="004F6992">
            <w:pPr>
              <w:jc w:val="center"/>
            </w:pPr>
            <w:r>
              <w:t>Examples</w:t>
            </w:r>
          </w:p>
        </w:tc>
      </w:tr>
      <w:tr w:rsidR="004F6992" w:rsidTr="00C91319">
        <w:tc>
          <w:tcPr>
            <w:tcW w:w="1526" w:type="dxa"/>
          </w:tcPr>
          <w:p w:rsidR="004F6992" w:rsidRDefault="004F6992" w:rsidP="00C91319">
            <w:r>
              <w:t>Table redesign</w:t>
            </w:r>
          </w:p>
        </w:tc>
        <w:tc>
          <w:tcPr>
            <w:tcW w:w="2268" w:type="dxa"/>
          </w:tcPr>
          <w:p w:rsidR="004F6992" w:rsidRDefault="00C91319" w:rsidP="00C91319">
            <w:r>
              <w:t>Disguise unsafe cells by:</w:t>
            </w:r>
          </w:p>
          <w:p w:rsidR="00C91319" w:rsidRDefault="00C91319" w:rsidP="00C91319">
            <w:r>
              <w:t>-grouping categories within a table</w:t>
            </w:r>
          </w:p>
          <w:p w:rsidR="00C91319" w:rsidRDefault="00C91319" w:rsidP="00C91319">
            <w:r>
              <w:t>-aggregating to a higher level geography or for a larger population subgroup</w:t>
            </w:r>
          </w:p>
          <w:p w:rsidR="00C91319" w:rsidRDefault="00C91319" w:rsidP="00C91319">
            <w:r>
              <w:t>-aggregating tables across a number of years/months/quarters</w:t>
            </w:r>
          </w:p>
        </w:tc>
        <w:tc>
          <w:tcPr>
            <w:tcW w:w="1848" w:type="dxa"/>
          </w:tcPr>
          <w:p w:rsidR="004F6992" w:rsidRDefault="00C91319" w:rsidP="00C91319">
            <w:r>
              <w:t>Original counts in the data are not damaged</w:t>
            </w:r>
          </w:p>
          <w:p w:rsidR="00C91319" w:rsidRDefault="00C91319" w:rsidP="00C91319">
            <w:r>
              <w:t>Easy to implement</w:t>
            </w:r>
          </w:p>
        </w:tc>
        <w:tc>
          <w:tcPr>
            <w:tcW w:w="1849" w:type="dxa"/>
          </w:tcPr>
          <w:p w:rsidR="004F6992" w:rsidRDefault="00C91319" w:rsidP="00C91319">
            <w:r>
              <w:t>Detail in the table will be reduced</w:t>
            </w:r>
          </w:p>
          <w:p w:rsidR="00C91319" w:rsidRDefault="00C91319" w:rsidP="00C91319">
            <w:r>
              <w:t>May be policy or practical reasons for requiring a particular table design</w:t>
            </w:r>
          </w:p>
        </w:tc>
        <w:tc>
          <w:tcPr>
            <w:tcW w:w="1849" w:type="dxa"/>
          </w:tcPr>
          <w:p w:rsidR="004F6992" w:rsidRDefault="00C91319" w:rsidP="00C91319">
            <w:r>
              <w:t>Teenage conception statistics are published for Local Authority or higher and the City of London is combined with Hackney</w:t>
            </w:r>
          </w:p>
        </w:tc>
      </w:tr>
      <w:tr w:rsidR="004F6992" w:rsidTr="00C91319">
        <w:tc>
          <w:tcPr>
            <w:tcW w:w="1526" w:type="dxa"/>
          </w:tcPr>
          <w:p w:rsidR="004F6992" w:rsidRDefault="00C91319" w:rsidP="00C91319">
            <w:r>
              <w:t>Cell suppression</w:t>
            </w:r>
          </w:p>
        </w:tc>
        <w:tc>
          <w:tcPr>
            <w:tcW w:w="2268" w:type="dxa"/>
          </w:tcPr>
          <w:p w:rsidR="00C91319" w:rsidRDefault="00C91319" w:rsidP="00C91319">
            <w:r>
              <w:t xml:space="preserve">Unsafe cells are not published.  They are suppressed and replaced by a special character, such as “..” or “X”, to indicate a suppressed value.  Such suppressions are called primary suppressions.  To make sure that the primary suppressions cannot be derived by subtraction, it </w:t>
            </w:r>
            <w:r w:rsidR="002F0DDA">
              <w:t>may be necessary to select additional cells for secondary suppression.</w:t>
            </w:r>
          </w:p>
        </w:tc>
        <w:tc>
          <w:tcPr>
            <w:tcW w:w="1848" w:type="dxa"/>
          </w:tcPr>
          <w:p w:rsidR="004F6992" w:rsidRDefault="002F0DDA" w:rsidP="00C91319">
            <w:r>
              <w:t>Original counts in the data that are not suppressed are not adjusted</w:t>
            </w:r>
          </w:p>
        </w:tc>
        <w:tc>
          <w:tcPr>
            <w:tcW w:w="1849" w:type="dxa"/>
          </w:tcPr>
          <w:p w:rsidR="004F6992" w:rsidRDefault="002F0DDA" w:rsidP="00C91319">
            <w:r>
              <w:t>Most of the information about suppressed cells will be lost</w:t>
            </w:r>
          </w:p>
          <w:p w:rsidR="002F0DDA" w:rsidRDefault="002F0DDA" w:rsidP="00C91319">
            <w:r>
              <w:t>Secondary suppressions will hide information in safe cells</w:t>
            </w:r>
          </w:p>
          <w:p w:rsidR="002F0DDA" w:rsidRDefault="002F0DDA" w:rsidP="00C91319">
            <w:r>
              <w:t>Information loss will be high if more than a few suppressions are required</w:t>
            </w:r>
          </w:p>
          <w:p w:rsidR="002F0DDA" w:rsidRDefault="002F0DDA" w:rsidP="00C91319">
            <w:r>
              <w:t>In order to protect any disclosive zeros, these will need to be suppressed</w:t>
            </w:r>
          </w:p>
          <w:p w:rsidR="002F0DDA" w:rsidRDefault="002F0DDA" w:rsidP="00C91319">
            <w:r>
              <w:t>Does not protect against disclosure by differencing</w:t>
            </w:r>
          </w:p>
          <w:p w:rsidR="002F0DDA" w:rsidRDefault="002F0DDA" w:rsidP="00C91319">
            <w:r>
              <w:t>Complex to implement optimally if more than a few suppressions are required, and particularly complex for linked tables</w:t>
            </w:r>
          </w:p>
          <w:p w:rsidR="00FF17A0" w:rsidRDefault="00FF17A0" w:rsidP="00C91319"/>
        </w:tc>
        <w:tc>
          <w:tcPr>
            <w:tcW w:w="1849" w:type="dxa"/>
          </w:tcPr>
          <w:p w:rsidR="004F6992" w:rsidRDefault="002F0DDA" w:rsidP="00C91319">
            <w:r>
              <w:t>Statistics on low birth weight babies are protected using suppression</w:t>
            </w:r>
          </w:p>
        </w:tc>
      </w:tr>
      <w:tr w:rsidR="004F6992" w:rsidTr="00C91319">
        <w:tc>
          <w:tcPr>
            <w:tcW w:w="1526" w:type="dxa"/>
          </w:tcPr>
          <w:p w:rsidR="004F6992" w:rsidRDefault="002F0DDA" w:rsidP="00C91319">
            <w:r>
              <w:lastRenderedPageBreak/>
              <w:t>Rounding</w:t>
            </w:r>
          </w:p>
        </w:tc>
        <w:tc>
          <w:tcPr>
            <w:tcW w:w="2268" w:type="dxa"/>
          </w:tcPr>
          <w:p w:rsidR="004F6992" w:rsidRDefault="002F0DDA" w:rsidP="00C91319">
            <w:r>
              <w:t>Rounding involves adjusting the values in all cells in a table to a specified base.  This creates uncertainty about the real value for any cell while adding a small but acceptable amount of distortion to the data</w:t>
            </w:r>
          </w:p>
        </w:tc>
        <w:tc>
          <w:tcPr>
            <w:tcW w:w="1848" w:type="dxa"/>
          </w:tcPr>
          <w:p w:rsidR="004F6992" w:rsidRDefault="002F0DDA" w:rsidP="00C91319">
            <w:r>
              <w:t>Counts are provided for all cells</w:t>
            </w:r>
          </w:p>
          <w:p w:rsidR="002F0DDA" w:rsidRDefault="002F0DDA" w:rsidP="00C91319">
            <w:r>
              <w:t>Provides protection for zeros</w:t>
            </w:r>
          </w:p>
          <w:p w:rsidR="002F0DDA" w:rsidRDefault="002F0DDA" w:rsidP="00C91319">
            <w:r>
              <w:t>Protects against disclosure by differencing and across linked tables</w:t>
            </w:r>
          </w:p>
        </w:tc>
        <w:tc>
          <w:tcPr>
            <w:tcW w:w="1849" w:type="dxa"/>
          </w:tcPr>
          <w:p w:rsidR="004F6992" w:rsidRDefault="002F0DDA" w:rsidP="00C91319">
            <w:r>
              <w:t>Cannot be used to protect cells that are determined unsafe by a rule based on the number of statistical units contributing to a cell</w:t>
            </w:r>
          </w:p>
          <w:p w:rsidR="002F0DDA" w:rsidRDefault="002F0DDA" w:rsidP="00C91319">
            <w:r>
              <w:t>Random rounding requires auditing; controlled rounding requires specialist software</w:t>
            </w:r>
          </w:p>
        </w:tc>
        <w:tc>
          <w:tcPr>
            <w:tcW w:w="1849" w:type="dxa"/>
          </w:tcPr>
          <w:p w:rsidR="004F6992" w:rsidRDefault="002F0DDA" w:rsidP="00C91319">
            <w:r>
              <w:t>Statistics on claimants of disability living allowance, incapacity benefit and severe disablement allowance are protected by rounding to base 5</w:t>
            </w:r>
          </w:p>
        </w:tc>
      </w:tr>
      <w:tr w:rsidR="002F0DDA" w:rsidTr="00C91319">
        <w:tc>
          <w:tcPr>
            <w:tcW w:w="1526" w:type="dxa"/>
          </w:tcPr>
          <w:p w:rsidR="002F0DDA" w:rsidRDefault="002F0DDA" w:rsidP="00C91319">
            <w:r>
              <w:t>Barnardisation</w:t>
            </w:r>
          </w:p>
        </w:tc>
        <w:tc>
          <w:tcPr>
            <w:tcW w:w="2268" w:type="dxa"/>
          </w:tcPr>
          <w:p w:rsidR="002F0DDA" w:rsidRDefault="002F0DDA" w:rsidP="00C91319">
            <w:r>
              <w:t>A post-tabular method for frequency tables where internal cells of every table are adjusted by +1, 0 or -1, according to probabilities</w:t>
            </w:r>
          </w:p>
        </w:tc>
        <w:tc>
          <w:tcPr>
            <w:tcW w:w="1848" w:type="dxa"/>
          </w:tcPr>
          <w:p w:rsidR="002F0DDA" w:rsidRDefault="002F0DDA" w:rsidP="00C91319">
            <w:r>
              <w:t>Protects against disclosure by differencing</w:t>
            </w:r>
          </w:p>
        </w:tc>
        <w:tc>
          <w:tcPr>
            <w:tcW w:w="1849" w:type="dxa"/>
          </w:tcPr>
          <w:p w:rsidR="002F0DDA" w:rsidRDefault="002F0DDA" w:rsidP="00C91319">
            <w:r>
              <w:t>High level of adjustment may be required in order to disguise all unsafe cells</w:t>
            </w:r>
          </w:p>
          <w:p w:rsidR="002F0DDA" w:rsidRDefault="002F0DDA" w:rsidP="00C91319">
            <w:r>
              <w:t>Will distort distribution in the data</w:t>
            </w:r>
          </w:p>
        </w:tc>
        <w:tc>
          <w:tcPr>
            <w:tcW w:w="1849" w:type="dxa"/>
          </w:tcPr>
          <w:p w:rsidR="002F0DDA" w:rsidRDefault="002F0DDA" w:rsidP="00C91319">
            <w:r>
              <w:t>Implemented for the 1991 Census</w:t>
            </w:r>
          </w:p>
        </w:tc>
      </w:tr>
      <w:tr w:rsidR="002F0DDA" w:rsidTr="00C91319">
        <w:tc>
          <w:tcPr>
            <w:tcW w:w="1526" w:type="dxa"/>
          </w:tcPr>
          <w:p w:rsidR="002F0DDA" w:rsidRDefault="002F0DDA" w:rsidP="00C91319">
            <w:r>
              <w:t>Record swapping</w:t>
            </w:r>
          </w:p>
        </w:tc>
        <w:tc>
          <w:tcPr>
            <w:tcW w:w="2268" w:type="dxa"/>
          </w:tcPr>
          <w:p w:rsidR="002F0DDA" w:rsidRDefault="002F0DDA" w:rsidP="00C91319">
            <w:r>
              <w:t>Swap pairs of records within a micro-dataset that are partially matched to alter the geographic locations attached to the records but leave all other aspects unchanged</w:t>
            </w:r>
          </w:p>
        </w:tc>
        <w:tc>
          <w:tcPr>
            <w:tcW w:w="1848" w:type="dxa"/>
          </w:tcPr>
          <w:p w:rsidR="002F0DDA" w:rsidRDefault="002F0DDA" w:rsidP="00C91319">
            <w:r>
              <w:t>Protects against disclosure by differencing</w:t>
            </w:r>
          </w:p>
        </w:tc>
        <w:tc>
          <w:tcPr>
            <w:tcW w:w="1849" w:type="dxa"/>
          </w:tcPr>
          <w:p w:rsidR="002F0DDA" w:rsidRDefault="002F0DDA" w:rsidP="00C91319">
            <w:r>
              <w:t>High level of swapping may be required in order to disguise all unsafe cells</w:t>
            </w:r>
          </w:p>
          <w:p w:rsidR="002F0DDA" w:rsidRDefault="002F0DDA" w:rsidP="00C91319">
            <w:r>
              <w:t>Will distort distributions in the data.</w:t>
            </w:r>
          </w:p>
          <w:p w:rsidR="002F0DDA" w:rsidRDefault="002F0DDA" w:rsidP="00C91319">
            <w:r>
              <w:t>Method not transparent to users</w:t>
            </w:r>
          </w:p>
        </w:tc>
        <w:tc>
          <w:tcPr>
            <w:tcW w:w="1849" w:type="dxa"/>
          </w:tcPr>
          <w:p w:rsidR="002F0DDA" w:rsidRDefault="002F0DDA" w:rsidP="00C91319">
            <w:r>
              <w:t>Used in combination with small cell adjustment to protect the 2001 Census for England and Wales</w:t>
            </w:r>
          </w:p>
        </w:tc>
      </w:tr>
    </w:tbl>
    <w:p w:rsidR="004F6992" w:rsidRPr="0097120B" w:rsidRDefault="004F6992" w:rsidP="00E966D8">
      <w:pPr>
        <w:jc w:val="both"/>
      </w:pPr>
    </w:p>
    <w:sectPr w:rsidR="004F6992" w:rsidRPr="0097120B" w:rsidSect="009530D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455" w:rsidRDefault="007A1455" w:rsidP="006742AC">
      <w:r>
        <w:separator/>
      </w:r>
    </w:p>
  </w:endnote>
  <w:endnote w:type="continuationSeparator" w:id="0">
    <w:p w:rsidR="007A1455" w:rsidRDefault="007A1455" w:rsidP="00674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71887"/>
      <w:docPartObj>
        <w:docPartGallery w:val="Page Numbers (Bottom of Page)"/>
        <w:docPartUnique/>
      </w:docPartObj>
    </w:sdtPr>
    <w:sdtEndPr>
      <w:rPr>
        <w:noProof/>
      </w:rPr>
    </w:sdtEndPr>
    <w:sdtContent>
      <w:p w:rsidR="001C70F0" w:rsidRDefault="001C70F0">
        <w:pPr>
          <w:pStyle w:val="Footer"/>
          <w:jc w:val="center"/>
        </w:pPr>
        <w:r>
          <w:fldChar w:fldCharType="begin"/>
        </w:r>
        <w:r>
          <w:instrText xml:space="preserve"> PAGE   \* MERGEFORMAT </w:instrText>
        </w:r>
        <w:r>
          <w:fldChar w:fldCharType="separate"/>
        </w:r>
        <w:r w:rsidR="0012218B">
          <w:rPr>
            <w:noProof/>
          </w:rPr>
          <w:t>6</w:t>
        </w:r>
        <w:r>
          <w:rPr>
            <w:noProof/>
          </w:rPr>
          <w:fldChar w:fldCharType="end"/>
        </w:r>
      </w:p>
    </w:sdtContent>
  </w:sdt>
  <w:p w:rsidR="001C70F0" w:rsidRDefault="001C70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455" w:rsidRDefault="007A1455" w:rsidP="006742AC">
      <w:r>
        <w:separator/>
      </w:r>
    </w:p>
  </w:footnote>
  <w:footnote w:type="continuationSeparator" w:id="0">
    <w:p w:rsidR="007A1455" w:rsidRDefault="007A1455" w:rsidP="006742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664C"/>
    <w:multiLevelType w:val="hybridMultilevel"/>
    <w:tmpl w:val="9D8A6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7B686C"/>
    <w:multiLevelType w:val="hybridMultilevel"/>
    <w:tmpl w:val="A7F28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A418B1"/>
    <w:multiLevelType w:val="hybridMultilevel"/>
    <w:tmpl w:val="07EE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E764FA"/>
    <w:multiLevelType w:val="hybridMultilevel"/>
    <w:tmpl w:val="4E4E7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0BF"/>
    <w:rsid w:val="00116841"/>
    <w:rsid w:val="0012218B"/>
    <w:rsid w:val="001A5D03"/>
    <w:rsid w:val="001C70F0"/>
    <w:rsid w:val="001E73A2"/>
    <w:rsid w:val="002F0DDA"/>
    <w:rsid w:val="002F6824"/>
    <w:rsid w:val="003844AD"/>
    <w:rsid w:val="0038691E"/>
    <w:rsid w:val="003A30BF"/>
    <w:rsid w:val="004F6992"/>
    <w:rsid w:val="005A3834"/>
    <w:rsid w:val="00607AFA"/>
    <w:rsid w:val="006742AC"/>
    <w:rsid w:val="007A1455"/>
    <w:rsid w:val="00891E98"/>
    <w:rsid w:val="009530D1"/>
    <w:rsid w:val="0097120B"/>
    <w:rsid w:val="00B91819"/>
    <w:rsid w:val="00C91319"/>
    <w:rsid w:val="00E966D8"/>
    <w:rsid w:val="00FF1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0BF"/>
    <w:pPr>
      <w:ind w:left="720"/>
      <w:contextualSpacing/>
    </w:pPr>
  </w:style>
  <w:style w:type="table" w:styleId="TableGrid">
    <w:name w:val="Table Grid"/>
    <w:basedOn w:val="TableNormal"/>
    <w:uiPriority w:val="59"/>
    <w:rsid w:val="009530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42AC"/>
    <w:pPr>
      <w:tabs>
        <w:tab w:val="center" w:pos="4513"/>
        <w:tab w:val="right" w:pos="9026"/>
      </w:tabs>
    </w:pPr>
  </w:style>
  <w:style w:type="character" w:customStyle="1" w:styleId="HeaderChar">
    <w:name w:val="Header Char"/>
    <w:basedOn w:val="DefaultParagraphFont"/>
    <w:link w:val="Header"/>
    <w:uiPriority w:val="99"/>
    <w:rsid w:val="006742AC"/>
  </w:style>
  <w:style w:type="paragraph" w:styleId="Footer">
    <w:name w:val="footer"/>
    <w:basedOn w:val="Normal"/>
    <w:link w:val="FooterChar"/>
    <w:uiPriority w:val="99"/>
    <w:unhideWhenUsed/>
    <w:rsid w:val="006742AC"/>
    <w:pPr>
      <w:tabs>
        <w:tab w:val="center" w:pos="4513"/>
        <w:tab w:val="right" w:pos="9026"/>
      </w:tabs>
    </w:pPr>
  </w:style>
  <w:style w:type="character" w:customStyle="1" w:styleId="FooterChar">
    <w:name w:val="Footer Char"/>
    <w:basedOn w:val="DefaultParagraphFont"/>
    <w:link w:val="Footer"/>
    <w:uiPriority w:val="99"/>
    <w:rsid w:val="006742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0BF"/>
    <w:pPr>
      <w:ind w:left="720"/>
      <w:contextualSpacing/>
    </w:pPr>
  </w:style>
  <w:style w:type="table" w:styleId="TableGrid">
    <w:name w:val="Table Grid"/>
    <w:basedOn w:val="TableNormal"/>
    <w:uiPriority w:val="59"/>
    <w:rsid w:val="009530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42AC"/>
    <w:pPr>
      <w:tabs>
        <w:tab w:val="center" w:pos="4513"/>
        <w:tab w:val="right" w:pos="9026"/>
      </w:tabs>
    </w:pPr>
  </w:style>
  <w:style w:type="character" w:customStyle="1" w:styleId="HeaderChar">
    <w:name w:val="Header Char"/>
    <w:basedOn w:val="DefaultParagraphFont"/>
    <w:link w:val="Header"/>
    <w:uiPriority w:val="99"/>
    <w:rsid w:val="006742AC"/>
  </w:style>
  <w:style w:type="paragraph" w:styleId="Footer">
    <w:name w:val="footer"/>
    <w:basedOn w:val="Normal"/>
    <w:link w:val="FooterChar"/>
    <w:uiPriority w:val="99"/>
    <w:unhideWhenUsed/>
    <w:rsid w:val="006742AC"/>
    <w:pPr>
      <w:tabs>
        <w:tab w:val="center" w:pos="4513"/>
        <w:tab w:val="right" w:pos="9026"/>
      </w:tabs>
    </w:pPr>
  </w:style>
  <w:style w:type="character" w:customStyle="1" w:styleId="FooterChar">
    <w:name w:val="Footer Char"/>
    <w:basedOn w:val="DefaultParagraphFont"/>
    <w:link w:val="Footer"/>
    <w:uiPriority w:val="99"/>
    <w:rsid w:val="00674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95981-336D-4A7C-827B-0105E8CB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Springett</dc:creator>
  <cp:lastModifiedBy>Anna Springett</cp:lastModifiedBy>
  <cp:revision>9</cp:revision>
  <dcterms:created xsi:type="dcterms:W3CDTF">2011-03-28T14:23:00Z</dcterms:created>
  <dcterms:modified xsi:type="dcterms:W3CDTF">2011-09-07T16:02:00Z</dcterms:modified>
</cp:coreProperties>
</file>